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58" w:rsidRDefault="00612158" w:rsidP="00612158">
      <w:pPr>
        <w:pStyle w:val="3"/>
        <w:rPr>
          <w:rFonts w:ascii="Arial" w:hAnsi="Arial" w:cs="Arial"/>
          <w:sz w:val="16"/>
          <w:szCs w:val="16"/>
        </w:rPr>
      </w:pPr>
    </w:p>
    <w:p w:rsidR="00612158" w:rsidRDefault="00612158" w:rsidP="00612158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АКЦИОНЕРНОЕ  ОБЩЕСТВО</w:t>
      </w:r>
    </w:p>
    <w:p w:rsidR="00612158" w:rsidRDefault="00612158" w:rsidP="00612158">
      <w:pPr>
        <w:rPr>
          <w:rFonts w:ascii="Arial" w:hAnsi="Arial" w:cs="Arial"/>
          <w:sz w:val="24"/>
          <w:szCs w:val="24"/>
        </w:rPr>
      </w:pPr>
    </w:p>
    <w:p w:rsidR="00612158" w:rsidRDefault="00612158" w:rsidP="00612158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"Организация"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Аквалайф-М</w:t>
      </w:r>
      <w:proofErr w:type="spellEnd"/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»</w:t>
      </w:r>
    </w:p>
    <w:p w:rsidR="00612158" w:rsidRDefault="00612158" w:rsidP="00612158">
      <w:pPr>
        <w:jc w:val="center"/>
        <w:rPr>
          <w:rFonts w:ascii="Arial" w:hAnsi="Arial" w:cs="Arial"/>
          <w:sz w:val="24"/>
          <w:szCs w:val="24"/>
        </w:rPr>
      </w:pPr>
    </w:p>
    <w:p w:rsidR="00612158" w:rsidRDefault="00612158" w:rsidP="00612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:rsidR="00612158" w:rsidRDefault="00612158" w:rsidP="00612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УТВЕРЖДЕН:</w:t>
      </w:r>
    </w:p>
    <w:p w:rsidR="00612158" w:rsidRDefault="00612158" w:rsidP="00612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Общим собранием акционеров</w:t>
      </w:r>
    </w:p>
    <w:p w:rsidR="00612158" w:rsidRDefault="00612158" w:rsidP="00612158">
      <w:pPr>
        <w:rPr>
          <w:rFonts w:ascii="Arial" w:hAnsi="Arial" w:cs="Arial"/>
          <w:b/>
          <w:bCs/>
          <w:sz w:val="24"/>
          <w:szCs w:val="24"/>
        </w:rPr>
      </w:pPr>
      <w:r w:rsidRPr="0061215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АО «</w:t>
      </w:r>
      <w:proofErr w:type="spellStart"/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Организация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Аквалайф-М</w:t>
      </w:r>
      <w:proofErr w:type="spellEnd"/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»</w:t>
      </w:r>
    </w:p>
    <w:p w:rsidR="00612158" w:rsidRDefault="00612158" w:rsidP="00612158">
      <w:pPr>
        <w:rPr>
          <w:rFonts w:ascii="Arial" w:hAnsi="Arial" w:cs="Arial"/>
          <w:b/>
          <w:sz w:val="24"/>
          <w:szCs w:val="24"/>
        </w:rPr>
      </w:pPr>
      <w:r w:rsidRPr="0061215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"Дата_соб"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26 марта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2024</w:t>
      </w:r>
      <w:r>
        <w:rPr>
          <w:rFonts w:ascii="Arial" w:hAnsi="Arial" w:cs="Arial"/>
          <w:b/>
          <w:sz w:val="24"/>
          <w:szCs w:val="24"/>
        </w:rPr>
        <w:t xml:space="preserve"> года</w:t>
      </w:r>
    </w:p>
    <w:p w:rsidR="00612158" w:rsidRDefault="00612158" w:rsidP="00612158">
      <w:pPr>
        <w:rPr>
          <w:rFonts w:ascii="Arial" w:hAnsi="Arial" w:cs="Arial"/>
          <w:b/>
          <w:bCs/>
          <w:sz w:val="24"/>
          <w:szCs w:val="24"/>
        </w:rPr>
      </w:pPr>
      <w:r w:rsidRPr="0061215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Протокол №23 от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"Прот_Собр"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27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марта 2024 года</w:t>
      </w:r>
    </w:p>
    <w:p w:rsidR="00612158" w:rsidRDefault="00612158" w:rsidP="00612158">
      <w:pPr>
        <w:ind w:firstLine="5245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ind w:firstLine="5245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rPr>
          <w:rFonts w:ascii="Arial" w:hAnsi="Arial" w:cs="Arial"/>
          <w:b/>
          <w:bCs/>
          <w:sz w:val="24"/>
          <w:szCs w:val="24"/>
        </w:rPr>
      </w:pPr>
      <w:r w:rsidRPr="0061215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ПРЕДВАРИТЕЛЬНО УТВЕРЖДЕН:</w:t>
      </w:r>
    </w:p>
    <w:p w:rsidR="00612158" w:rsidRDefault="00612158" w:rsidP="00612158">
      <w:pPr>
        <w:rPr>
          <w:rFonts w:ascii="Arial" w:hAnsi="Arial" w:cs="Arial"/>
          <w:b/>
          <w:bCs/>
          <w:sz w:val="24"/>
          <w:szCs w:val="24"/>
        </w:rPr>
      </w:pPr>
      <w:r w:rsidRPr="0061215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Советом директоров </w:t>
      </w:r>
    </w:p>
    <w:p w:rsidR="00612158" w:rsidRDefault="00612158" w:rsidP="00612158">
      <w:pPr>
        <w:rPr>
          <w:rFonts w:ascii="Arial" w:hAnsi="Arial" w:cs="Arial"/>
          <w:b/>
          <w:bCs/>
          <w:sz w:val="24"/>
          <w:szCs w:val="24"/>
        </w:rPr>
      </w:pPr>
      <w:r w:rsidRPr="0061215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АО «</w:t>
      </w:r>
      <w:proofErr w:type="spellStart"/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Аквалайф-М</w:t>
      </w:r>
      <w:proofErr w:type="spellEnd"/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»</w:t>
      </w:r>
    </w:p>
    <w:p w:rsidR="00612158" w:rsidRDefault="00612158" w:rsidP="00612158">
      <w:pPr>
        <w:rPr>
          <w:rFonts w:ascii="Arial" w:hAnsi="Arial" w:cs="Arial"/>
          <w:b/>
          <w:bCs/>
          <w:sz w:val="24"/>
          <w:szCs w:val="24"/>
        </w:rPr>
      </w:pPr>
      <w:r w:rsidRPr="0061215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20 февраля 2024 года</w:t>
      </w:r>
    </w:p>
    <w:p w:rsidR="00612158" w:rsidRDefault="00612158" w:rsidP="00612158">
      <w:pPr>
        <w:rPr>
          <w:rFonts w:ascii="Arial" w:hAnsi="Arial" w:cs="Arial"/>
          <w:b/>
          <w:bCs/>
          <w:sz w:val="24"/>
          <w:szCs w:val="24"/>
        </w:rPr>
      </w:pPr>
      <w:r w:rsidRPr="0061215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Протокол №4 от 20 февраля 2024 года</w:t>
      </w:r>
    </w:p>
    <w:p w:rsidR="00612158" w:rsidRDefault="00612158" w:rsidP="00612158">
      <w:pPr>
        <w:ind w:firstLine="5245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ind w:firstLine="4536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ГОДОВОЙ  ОТЧЕТ</w:t>
      </w:r>
    </w:p>
    <w:p w:rsidR="00612158" w:rsidRDefault="00612158" w:rsidP="0061215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 результатам работы</w:t>
      </w:r>
    </w:p>
    <w:p w:rsidR="00612158" w:rsidRDefault="00612158" w:rsidP="0061215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 2023 год</w:t>
      </w:r>
    </w:p>
    <w:p w:rsidR="00612158" w:rsidRDefault="00612158" w:rsidP="00612158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923" w:type="dxa"/>
        <w:tblInd w:w="108" w:type="dxa"/>
        <w:tblLook w:val="01E0"/>
      </w:tblPr>
      <w:tblGrid>
        <w:gridCol w:w="7371"/>
        <w:gridCol w:w="2552"/>
      </w:tblGrid>
      <w:tr w:rsidR="00612158" w:rsidTr="00612158">
        <w:trPr>
          <w:trHeight w:val="470"/>
        </w:trPr>
        <w:tc>
          <w:tcPr>
            <w:tcW w:w="7371" w:type="dxa"/>
            <w:hideMark/>
          </w:tcPr>
          <w:p w:rsidR="00612158" w:rsidRDefault="00612158">
            <w:pPr>
              <w:tabs>
                <w:tab w:val="left" w:pos="9355"/>
              </w:tabs>
              <w:spacing w:line="276" w:lineRule="auto"/>
              <w:ind w:right="-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Генеральный директор АО «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MERGEFIELD "Управ_Орг"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Плато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612158" w:rsidRDefault="00612158">
            <w:pPr>
              <w:tabs>
                <w:tab w:val="left" w:pos="9355"/>
              </w:tabs>
              <w:spacing w:line="276" w:lineRule="auto"/>
              <w:ind w:right="-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управляющей организации </w:t>
            </w:r>
          </w:p>
          <w:p w:rsidR="00612158" w:rsidRDefault="00612158">
            <w:pPr>
              <w:tabs>
                <w:tab w:val="left" w:pos="9355"/>
              </w:tabs>
              <w:spacing w:line="276" w:lineRule="auto"/>
              <w:ind w:right="-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АО «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MERGEFIELD "Организация"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Аквалайф-М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                                        ______________                  </w:t>
            </w:r>
          </w:p>
        </w:tc>
        <w:tc>
          <w:tcPr>
            <w:tcW w:w="2552" w:type="dxa"/>
          </w:tcPr>
          <w:p w:rsidR="00612158" w:rsidRDefault="00612158">
            <w:pPr>
              <w:spacing w:line="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12158" w:rsidRDefault="00612158">
            <w:pPr>
              <w:spacing w:line="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12158" w:rsidRDefault="00612158">
            <w:pPr>
              <w:spacing w:line="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MERGEFIELD "Сокр_ФИО_дир_Управл_организации"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Д.Н.Хисматуллина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612158" w:rsidRDefault="00612158" w:rsidP="00612158">
      <w:pPr>
        <w:spacing w:line="48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612158" w:rsidRDefault="00612158" w:rsidP="00612158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</w:t>
      </w:r>
      <w:r>
        <w:rPr>
          <w:rFonts w:ascii="Arial" w:hAnsi="Arial" w:cs="Arial"/>
          <w:b/>
          <w:bCs/>
          <w:sz w:val="24"/>
          <w:szCs w:val="24"/>
        </w:rPr>
        <w:t xml:space="preserve">. Положение </w:t>
      </w:r>
      <w:r>
        <w:rPr>
          <w:rFonts w:ascii="Arial" w:hAnsi="Arial" w:cs="Arial"/>
          <w:b/>
          <w:sz w:val="24"/>
          <w:szCs w:val="24"/>
        </w:rPr>
        <w:t>АО «</w:t>
      </w:r>
      <w:proofErr w:type="spellStart"/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MERGEFIELD Организация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Аквалайф-М</w:t>
      </w:r>
      <w:proofErr w:type="spellEnd"/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bCs/>
          <w:sz w:val="24"/>
          <w:szCs w:val="24"/>
        </w:rPr>
        <w:t xml:space="preserve"> в отрасли.</w:t>
      </w:r>
      <w:proofErr w:type="gramEnd"/>
    </w:p>
    <w:p w:rsidR="00612158" w:rsidRDefault="00612158" w:rsidP="00612158">
      <w:pPr>
        <w:jc w:val="center"/>
        <w:rPr>
          <w:rFonts w:ascii="Arial" w:hAnsi="Arial" w:cs="Arial"/>
          <w:sz w:val="24"/>
          <w:szCs w:val="24"/>
        </w:rPr>
      </w:pPr>
    </w:p>
    <w:p w:rsidR="00612158" w:rsidRDefault="00612158" w:rsidP="00612158">
      <w:pPr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Основными видами деятельности АО «</w:t>
      </w:r>
      <w:proofErr w:type="spellStart"/>
      <w:r>
        <w:rPr>
          <w:rFonts w:ascii="Arial" w:hAnsi="Arial" w:cs="Arial"/>
          <w:spacing w:val="-2"/>
          <w:sz w:val="24"/>
          <w:szCs w:val="24"/>
        </w:rPr>
        <w:fldChar w:fldCharType="begin"/>
      </w:r>
      <w:r>
        <w:rPr>
          <w:rFonts w:ascii="Arial" w:hAnsi="Arial" w:cs="Arial"/>
          <w:spacing w:val="-2"/>
          <w:sz w:val="24"/>
          <w:szCs w:val="24"/>
        </w:rPr>
        <w:instrText xml:space="preserve"> MERGEFIELD Организация </w:instrText>
      </w:r>
      <w:r>
        <w:rPr>
          <w:rFonts w:ascii="Arial" w:hAnsi="Arial" w:cs="Arial"/>
          <w:spacing w:val="-2"/>
          <w:sz w:val="24"/>
          <w:szCs w:val="24"/>
        </w:rPr>
        <w:fldChar w:fldCharType="separate"/>
      </w:r>
      <w:r>
        <w:rPr>
          <w:rFonts w:ascii="Arial" w:hAnsi="Arial" w:cs="Arial"/>
          <w:noProof/>
          <w:spacing w:val="-2"/>
          <w:sz w:val="24"/>
          <w:szCs w:val="24"/>
        </w:rPr>
        <w:t>Аквалайф-М</w:t>
      </w:r>
      <w:proofErr w:type="spellEnd"/>
      <w:r>
        <w:rPr>
          <w:rFonts w:ascii="Arial" w:hAnsi="Arial" w:cs="Arial"/>
          <w:spacing w:val="-2"/>
          <w:sz w:val="24"/>
          <w:szCs w:val="24"/>
        </w:rPr>
        <w:fldChar w:fldCharType="end"/>
      </w:r>
      <w:r>
        <w:rPr>
          <w:rFonts w:ascii="Arial" w:hAnsi="Arial" w:cs="Arial"/>
          <w:spacing w:val="-2"/>
          <w:sz w:val="24"/>
          <w:szCs w:val="24"/>
        </w:rPr>
        <w:t xml:space="preserve">» (далее </w:t>
      </w:r>
      <w:r>
        <w:rPr>
          <w:rFonts w:ascii="Arial" w:hAnsi="Arial" w:cs="Arial"/>
          <w:b/>
          <w:noProof/>
          <w:spacing w:val="-2"/>
          <w:sz w:val="24"/>
          <w:szCs w:val="24"/>
        </w:rPr>
        <w:t>–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Общество) являются:</w:t>
      </w:r>
    </w:p>
    <w:p w:rsidR="00612158" w:rsidRDefault="00612158" w:rsidP="00612158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исследование конъюнктуры рынка;</w:t>
      </w:r>
    </w:p>
    <w:p w:rsidR="00612158" w:rsidRDefault="00612158" w:rsidP="00612158">
      <w:pPr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 деятельность по изучению общественного мнения;</w:t>
      </w:r>
    </w:p>
    <w:p w:rsidR="00612158" w:rsidRDefault="00612158" w:rsidP="00612158">
      <w:pPr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 консультирование по вопросам коммерческой деятельности и управления.</w:t>
      </w:r>
    </w:p>
    <w:p w:rsidR="00612158" w:rsidRDefault="00612158" w:rsidP="00612158">
      <w:pPr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Деятельность Общества в отрасли составляет более 22 лет.</w:t>
      </w:r>
    </w:p>
    <w:p w:rsidR="00612158" w:rsidRDefault="00612158" w:rsidP="00612158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Доля Общества на соответствующем сегменте рынка в разрезе основных видов деятельности составляет незначительную часть и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последние 3 года не изменилась.</w:t>
      </w:r>
    </w:p>
    <w:p w:rsidR="00612158" w:rsidRDefault="00612158" w:rsidP="00612158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2023 году основными факторами, влияющими на состояние отрасли, являлись:</w:t>
      </w:r>
    </w:p>
    <w:p w:rsidR="00612158" w:rsidRDefault="00612158" w:rsidP="00612158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рыночно-конъюнктурные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факторы, такие как изменение цен, неопределенность развития ситуации на мировых финансовых и товарных рынках, изменение курса рубля по отношению к доллару США и Евро, повышение конкуренции;</w:t>
      </w:r>
    </w:p>
    <w:p w:rsidR="00612158" w:rsidRDefault="00612158" w:rsidP="00612158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хозяйственно-правовые и административные факторы, основным из которых стало изменение законодательства, регулирующего деятельность экономических субъектов отрасли.</w:t>
      </w:r>
    </w:p>
    <w:p w:rsidR="00612158" w:rsidRDefault="00612158" w:rsidP="00612158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Несмотря на относительную стабильность экономики региона, в котором Общество осуществляет деятельность,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высококонкурентная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среда не позволяет Обществу в полной мере осуществлять свою деятельность. При этом решения, принятые органами управления Общества, стали ключевыми причинами полученного результата деятельности Общества.</w:t>
      </w:r>
    </w:p>
    <w:p w:rsidR="00612158" w:rsidRDefault="00612158" w:rsidP="00612158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Оценка соответствия результатов деятельности Общества тенденциям развития отрасли:</w:t>
      </w:r>
    </w:p>
    <w:p w:rsidR="00612158" w:rsidRDefault="00612158" w:rsidP="00612158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соответствии с мнением органов управления Общества общая оценка перспектив развития Общества является положительной. В качестве основных задач развития на 2024 год следует определить сохранение достигнутого уровня и достижения положительных финансовых результатов в большей мере за счет основных видов деятельности.</w:t>
      </w:r>
    </w:p>
    <w:p w:rsidR="00612158" w:rsidRDefault="00612158" w:rsidP="0061215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II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. Приоритетные</w:t>
      </w:r>
      <w:r>
        <w:rPr>
          <w:rFonts w:ascii="Arial" w:hAnsi="Arial" w:cs="Arial"/>
          <w:b/>
          <w:bCs/>
          <w:sz w:val="24"/>
          <w:szCs w:val="24"/>
        </w:rPr>
        <w:t xml:space="preserve"> направления деятельности Общества.</w:t>
      </w:r>
    </w:p>
    <w:p w:rsidR="00612158" w:rsidRDefault="00612158" w:rsidP="006121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612158" w:rsidRDefault="00612158" w:rsidP="006121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извлечение прибыли;</w:t>
      </w:r>
    </w:p>
    <w:p w:rsidR="00612158" w:rsidRDefault="00612158" w:rsidP="006121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завоевание соответствующей доли рынка;</w:t>
      </w:r>
    </w:p>
    <w:p w:rsidR="00612158" w:rsidRDefault="00612158" w:rsidP="006121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конкурентоспособности;</w:t>
      </w:r>
    </w:p>
    <w:p w:rsidR="00612158" w:rsidRDefault="00612158" w:rsidP="006121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внедрение передовых технологий и методов хозяйствования.</w:t>
      </w:r>
    </w:p>
    <w:p w:rsidR="00612158" w:rsidRDefault="00612158" w:rsidP="00612158">
      <w:pPr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 xml:space="preserve">В соответствии с </w:t>
      </w:r>
      <w:proofErr w:type="gramStart"/>
      <w:r>
        <w:rPr>
          <w:rFonts w:ascii="Arial" w:hAnsi="Arial" w:cs="Arial"/>
          <w:spacing w:val="-2"/>
          <w:sz w:val="24"/>
          <w:szCs w:val="24"/>
        </w:rPr>
        <w:t>вышеизложенным</w:t>
      </w:r>
      <w:proofErr w:type="gramEnd"/>
      <w:r>
        <w:rPr>
          <w:rFonts w:ascii="Arial" w:hAnsi="Arial" w:cs="Arial"/>
          <w:spacing w:val="-2"/>
          <w:sz w:val="24"/>
          <w:szCs w:val="24"/>
        </w:rPr>
        <w:t>, Совет директоров ориентирует исполнительные органы Общества для достижения вышеперечисленных целей.</w:t>
      </w:r>
    </w:p>
    <w:p w:rsidR="00612158" w:rsidRDefault="00612158" w:rsidP="00612158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III</w:t>
      </w:r>
      <w:r>
        <w:rPr>
          <w:rFonts w:ascii="Arial" w:hAnsi="Arial" w:cs="Arial"/>
          <w:b/>
          <w:bCs/>
          <w:sz w:val="24"/>
          <w:szCs w:val="24"/>
        </w:rPr>
        <w:t>. Отчет Совета директоров Общества о результатах развития Общества по приоритетным направлениям его деятельности.</w:t>
      </w:r>
    </w:p>
    <w:p w:rsidR="00612158" w:rsidRDefault="00612158" w:rsidP="00612158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612158" w:rsidRDefault="00612158" w:rsidP="0061215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директоров </w:t>
      </w:r>
      <w:r>
        <w:rPr>
          <w:rFonts w:ascii="Arial" w:hAnsi="Arial" w:cs="Arial"/>
          <w:color w:val="000000" w:themeColor="text1"/>
          <w:sz w:val="24"/>
          <w:szCs w:val="24"/>
        </w:rPr>
        <w:t>оценивает итоги развития Общества по приоритетным направлениям его деятельности в 2023 году как средние. В течение этого периода своей деятельности Общество сумело обеспечить функционирование компании с прибылью.</w:t>
      </w:r>
    </w:p>
    <w:p w:rsidR="00612158" w:rsidRDefault="00612158" w:rsidP="0061215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ab/>
      </w:r>
    </w:p>
    <w:p w:rsidR="00612158" w:rsidRDefault="00612158" w:rsidP="0061215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 w:eastAsia="en-US"/>
        </w:rPr>
        <w:lastRenderedPageBreak/>
        <w:t>IV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>. Информация об объёме каждого из видов энергоресурсов, использованных в отчетном году.</w:t>
      </w:r>
    </w:p>
    <w:tbl>
      <w:tblPr>
        <w:tblW w:w="10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586"/>
        <w:gridCol w:w="2411"/>
        <w:gridCol w:w="1277"/>
        <w:gridCol w:w="2836"/>
      </w:tblGrid>
      <w:tr w:rsidR="00612158" w:rsidTr="00612158">
        <w:trPr>
          <w:trHeight w:hRule="exact" w:val="1175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Вид энергетического ресурса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0"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pacing w:val="-2"/>
                <w:sz w:val="24"/>
                <w:szCs w:val="24"/>
              </w:rPr>
              <w:t>Объём потребления</w:t>
            </w:r>
          </w:p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tabs>
                <w:tab w:val="left" w:pos="1638"/>
              </w:tabs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0" w:right="-4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Объём</w:t>
            </w:r>
          </w:p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-40" w:right="-42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потребления в </w:t>
            </w:r>
            <w:proofErr w:type="gramStart"/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денежном</w:t>
            </w:r>
            <w:proofErr w:type="gramEnd"/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-40" w:right="-4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выражении</w:t>
            </w:r>
            <w:proofErr w:type="gramEnd"/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, руб.</w:t>
            </w:r>
          </w:p>
        </w:tc>
      </w:tr>
      <w:tr w:rsidR="00612158" w:rsidTr="0061215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Атомная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40"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2158" w:rsidTr="0061215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Тепловая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2158" w:rsidTr="0061215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Электрическая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2158" w:rsidTr="0061215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Электромагнитная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2158" w:rsidTr="0061215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Нефть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2158" w:rsidTr="00612158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Бензин автомобильный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2158" w:rsidTr="00612158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Топливо дизельное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2158" w:rsidTr="00612158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Мазут топочный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2158" w:rsidTr="00612158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Газ естественный (природный)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2158" w:rsidTr="00612158">
        <w:trPr>
          <w:trHeight w:hRule="exact" w:val="285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Уголь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2158" w:rsidTr="00612158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Горючие сланцы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2158" w:rsidTr="00612158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2158" w:rsidRDefault="006121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Торф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ind w:left="-40" w:right="-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2158" w:rsidRDefault="0061215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612158" w:rsidRDefault="00612158" w:rsidP="00612158">
      <w:pPr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</w:p>
    <w:p w:rsidR="00612158" w:rsidRDefault="00612158" w:rsidP="00612158">
      <w:pPr>
        <w:ind w:firstLine="709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bCs/>
          <w:iCs/>
          <w:color w:val="000000" w:themeColor="text1"/>
          <w:sz w:val="24"/>
          <w:szCs w:val="24"/>
          <w:lang w:eastAsia="en-US"/>
        </w:rPr>
        <w:t>Информация об объеме потребления энергоресурсов не указана в связи с тем, что Общество находится по адресу управляющей организации, которая арендует часть офисного помещения у третьего лица, и действующий договор аренды между управляющей организацией и третьим лицом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  <w:proofErr w:type="gramEnd"/>
    </w:p>
    <w:p w:rsidR="00612158" w:rsidRDefault="00612158" w:rsidP="00612158">
      <w:pPr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</w:p>
    <w:p w:rsidR="00612158" w:rsidRDefault="00612158" w:rsidP="00612158">
      <w:pPr>
        <w:tabs>
          <w:tab w:val="left" w:pos="2175"/>
          <w:tab w:val="center" w:pos="5032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V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. Состояние чистых активов Общества.</w:t>
      </w:r>
      <w:proofErr w:type="gramEnd"/>
    </w:p>
    <w:p w:rsidR="00612158" w:rsidRDefault="00612158" w:rsidP="00612158">
      <w:pPr>
        <w:tabs>
          <w:tab w:val="left" w:pos="708"/>
          <w:tab w:val="left" w:pos="2640"/>
        </w:tabs>
        <w:jc w:val="both"/>
        <w:rPr>
          <w:rFonts w:ascii="Arial" w:hAnsi="Arial" w:cs="Arial"/>
          <w:bCs/>
          <w:color w:val="000000" w:themeColor="text1"/>
          <w:sz w:val="24"/>
          <w:szCs w:val="24"/>
          <w:vertAlign w:val="subscript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:rsidR="00612158" w:rsidRDefault="00612158" w:rsidP="00612158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  <w:t>На 31.12.2023 стоимость чистых активов Общества превышает размер уставного капитала.</w:t>
      </w:r>
    </w:p>
    <w:p w:rsidR="00612158" w:rsidRDefault="00612158" w:rsidP="0061215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 w:eastAsia="en-US"/>
        </w:rPr>
        <w:t>VI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>. Отчет о выплате дивидендов Общества.</w:t>
      </w:r>
    </w:p>
    <w:p w:rsidR="00612158" w:rsidRDefault="00612158" w:rsidP="0061215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2158" w:rsidRDefault="00612158" w:rsidP="006121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На существующем этапе развития основной деятельности дивидендная политика 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612158" w:rsidRDefault="00612158" w:rsidP="006121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В соответствии с утвержденной дивидендной политикой Общества в 2023 году дивиденды по итогам 2022 года не начислялись и не выплачивались.</w:t>
      </w:r>
    </w:p>
    <w:p w:rsidR="00612158" w:rsidRDefault="00612158" w:rsidP="0061215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>VII.</w:t>
      </w: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 w:eastAsia="en-US"/>
        </w:rPr>
        <w:t>C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>остав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 xml:space="preserve"> исполнительных органов Общества.</w:t>
      </w:r>
      <w:proofErr w:type="gramEnd"/>
    </w:p>
    <w:p w:rsidR="00612158" w:rsidRDefault="00612158" w:rsidP="0061215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2158" w:rsidRDefault="00612158" w:rsidP="006121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В соответствии с Уставом Общества, единоличным исполнительным органом является генеральный директор. Коллегиальный исполнительный орган не предусмотрен.</w:t>
      </w:r>
    </w:p>
    <w:p w:rsidR="00612158" w:rsidRDefault="00612158" w:rsidP="006121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В соответствии с решением общего собрания акционеров Общества от 07.12.2006 полномочия исполнительного органа Общества переданы управляющей организации. В течение 2023 года управляющей организацией Общества являлось Акционерное общество «Плато».</w:t>
      </w:r>
    </w:p>
    <w:p w:rsidR="00612158" w:rsidRDefault="00612158" w:rsidP="00612158">
      <w:pPr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Полное фирменное наименование: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Акционерное общество</w:t>
      </w:r>
      <w:r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 «Плато»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612158" w:rsidRDefault="00612158" w:rsidP="00612158">
      <w:pPr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Сокращенное фирменное наименование: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АО «Плато»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612158" w:rsidRDefault="00612158" w:rsidP="00612158">
      <w:pPr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12158" w:rsidRDefault="00612158" w:rsidP="0061215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отчетном году сделки по приобретению или отчуждению акций Общества управляющей компанией не имели места.</w:t>
      </w:r>
    </w:p>
    <w:p w:rsidR="00612158" w:rsidRDefault="00612158" w:rsidP="00612158">
      <w:pPr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12158" w:rsidRDefault="00612158" w:rsidP="00612158">
      <w:pPr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Генеральный директор управляющей организац</w:t>
      </w:r>
      <w:proofErr w:type="gramStart"/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ии </w:t>
      </w:r>
      <w:r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АО</w:t>
      </w:r>
      <w:proofErr w:type="gramEnd"/>
      <w:r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 «Плато»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</w:p>
    <w:p w:rsidR="00612158" w:rsidRDefault="00612158" w:rsidP="00612158">
      <w:pPr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Хисматуллина Динара Наильевна</w:t>
      </w:r>
    </w:p>
    <w:p w:rsidR="00612158" w:rsidRDefault="00612158" w:rsidP="0061215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Год рождения: </w:t>
      </w:r>
      <w:r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1979</w:t>
      </w:r>
    </w:p>
    <w:p w:rsidR="00612158" w:rsidRDefault="00612158" w:rsidP="0061215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Образование: высшее.</w:t>
      </w:r>
    </w:p>
    <w:p w:rsidR="00612158" w:rsidRDefault="00612158" w:rsidP="006121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Доля в уставном капитале Общества: доли не имеет.</w:t>
      </w:r>
    </w:p>
    <w:p w:rsidR="00612158" w:rsidRDefault="00612158" w:rsidP="006121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Доля принадлежащих обыкновенных акций Общества: доли не имеет.</w:t>
      </w:r>
    </w:p>
    <w:p w:rsidR="00612158" w:rsidRDefault="00612158" w:rsidP="0061215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отчетном году сделки по приобретению или отчуждению акций Общества генеральным директором управляющей организации Общества не имели места.</w:t>
      </w:r>
    </w:p>
    <w:p w:rsidR="00612158" w:rsidRDefault="00612158" w:rsidP="006121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VIII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. Критерии определения вознаграждения и (или) компенсации расходов лица, занимающего должность единоличного исполнительного органа (управляющей организации), лицам, входящим в состав Совета директоров, выплаченного Обществом в течение 2023 года.</w:t>
      </w:r>
    </w:p>
    <w:p w:rsidR="00612158" w:rsidRDefault="00612158" w:rsidP="0061215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12158" w:rsidRDefault="00612158" w:rsidP="0061215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настоящее время Общество не выплачивает вознаграждений членам Совета директоров, хотя в дальнейшем такие выплаты не исключаются.</w:t>
      </w:r>
    </w:p>
    <w:p w:rsidR="00612158" w:rsidRDefault="00612158" w:rsidP="0061215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течение 2023 года вознаграждение за выполнение управленческих функций выплачивалось лицу, осуществляющему полномочия единоличного исполнительного органа Общества –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АО «</w:t>
      </w:r>
      <w:r>
        <w:rPr>
          <w:rFonts w:ascii="Arial" w:hAnsi="Arial" w:cs="Arial"/>
          <w:iCs/>
          <w:color w:val="000000" w:themeColor="text1"/>
          <w:sz w:val="24"/>
          <w:szCs w:val="24"/>
        </w:rPr>
        <w:fldChar w:fldCharType="begin"/>
      </w:r>
      <w:r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MERGEFIELD "Управ_Орг" </w:instrText>
      </w:r>
      <w:r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iCs/>
          <w:noProof/>
          <w:color w:val="000000" w:themeColor="text1"/>
          <w:sz w:val="24"/>
          <w:szCs w:val="24"/>
        </w:rPr>
        <w:t>Плато</w:t>
      </w:r>
      <w:r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iCs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. Вознаграждение лица, осуществляющего полномочия единоличного исполнительного органа Общества, определяется как фиксированная сумма. Размер вознаграждения управляющей организации Общества установлен договором о передаче полномочий единоличного исполнительного органа.</w:t>
      </w:r>
    </w:p>
    <w:p w:rsidR="00612158" w:rsidRDefault="00612158" w:rsidP="0061215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 w:eastAsia="en-US"/>
        </w:rPr>
        <w:t>IX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>. Сведения о соблюдении Обществом кодекса корпоративного управления.</w:t>
      </w:r>
    </w:p>
    <w:p w:rsidR="00612158" w:rsidRDefault="00612158" w:rsidP="0061215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12158" w:rsidRDefault="00612158" w:rsidP="006121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Обществом официально не утвержден кодекс корпоративного управления или иной аналогичный документ, так как ценные бумаги Общества не участвуют в торгах на рынке ценных бумаг. Однако Общество обеспечивает акционерам возможность участия в управлении Обществом и ознакомления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Центрального банка РФ.</w:t>
      </w:r>
    </w:p>
    <w:p w:rsidR="00612158" w:rsidRDefault="00612158" w:rsidP="006121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612158" w:rsidRDefault="00612158" w:rsidP="0061215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 w:eastAsia="en-US"/>
        </w:rPr>
        <w:t>X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>. Сведения о крупных сделках, совершенных Обществом в отчетном году.</w:t>
      </w:r>
      <w:proofErr w:type="gramEnd"/>
    </w:p>
    <w:p w:rsidR="00612158" w:rsidRDefault="00612158" w:rsidP="0061215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612158" w:rsidRDefault="00612158" w:rsidP="00612158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Сделок, признаваемых в соответствии с Федеральным законом «Об акционерных обществах» крупными сделками, в течение 2023 года не совершалось.</w:t>
      </w:r>
    </w:p>
    <w:p w:rsidR="00612158" w:rsidRDefault="00612158" w:rsidP="0061215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 w:eastAsia="en-US"/>
        </w:rPr>
        <w:t>XI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 xml:space="preserve">. Сведения о сделках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 w:eastAsia="en-US"/>
        </w:rPr>
        <w:t>c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 xml:space="preserve"> заинтересованностью, совершенных Обществом в отчетном году.</w:t>
      </w:r>
    </w:p>
    <w:p w:rsidR="00612158" w:rsidRDefault="00612158" w:rsidP="006121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2158" w:rsidRDefault="00612158" w:rsidP="00612158">
      <w:pPr>
        <w:tabs>
          <w:tab w:val="left" w:pos="567"/>
        </w:tabs>
        <w:jc w:val="both"/>
        <w:rPr>
          <w:rFonts w:ascii="Arial" w:hAnsi="Arial" w:cs="Arial"/>
          <w:color w:val="000000" w:themeColor="text1"/>
          <w:spacing w:val="-2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US"/>
        </w:rPr>
        <w:lastRenderedPageBreak/>
        <w:tab/>
      </w:r>
      <w:r>
        <w:rPr>
          <w:rFonts w:ascii="Arial" w:hAnsi="Arial" w:cs="Arial"/>
          <w:color w:val="000000" w:themeColor="text1"/>
          <w:spacing w:val="-2"/>
          <w:sz w:val="24"/>
          <w:szCs w:val="24"/>
          <w:lang w:eastAsia="en-US"/>
        </w:rPr>
        <w:t>Сделок, признаваемых в соответствии с Федеральным законом «Об акционерных обществах» сделками, в совершении которых имелась заинтересованность, в 2023 году не совершалось.</w:t>
      </w:r>
    </w:p>
    <w:p w:rsidR="00612158" w:rsidRDefault="00612158" w:rsidP="0061215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</w:p>
    <w:p w:rsidR="00612158" w:rsidRDefault="00612158" w:rsidP="0061215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 w:eastAsia="en-US"/>
        </w:rPr>
        <w:t>XII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>. Дополнительная информация для акционеров.</w:t>
      </w:r>
    </w:p>
    <w:p w:rsidR="00612158" w:rsidRDefault="00612158" w:rsidP="0061215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12158" w:rsidRDefault="00612158" w:rsidP="0061215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Уставный капитал Общества равен 160 000 рублей и разделен на 160 000 штук обыкновенных акций номиналом 1 рубль.</w:t>
      </w:r>
    </w:p>
    <w:p w:rsidR="00612158" w:rsidRDefault="00612158" w:rsidP="0061215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Регистратором Общества, в соответствии с заключенным договором, является     АО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Сургутинвестнефть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»:</w:t>
      </w:r>
    </w:p>
    <w:p w:rsidR="00612158" w:rsidRDefault="00612158" w:rsidP="00612158">
      <w:pPr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Адрес (адреса):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Российская Федерация, Ханты-Мансийский автономный округ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 w:themeColor="text1"/>
          <w:sz w:val="24"/>
          <w:szCs w:val="24"/>
        </w:rPr>
        <w:t>Югра</w:t>
      </w:r>
      <w:proofErr w:type="spellEnd"/>
      <w:r>
        <w:rPr>
          <w:rFonts w:ascii="Arial" w:hAnsi="Arial" w:cs="Arial"/>
          <w:iCs/>
          <w:color w:val="000000" w:themeColor="text1"/>
          <w:sz w:val="24"/>
          <w:szCs w:val="24"/>
        </w:rPr>
        <w:t>, г</w:t>
      </w:r>
      <w:proofErr w:type="gramStart"/>
      <w:r>
        <w:rPr>
          <w:rFonts w:ascii="Arial" w:hAnsi="Arial" w:cs="Arial"/>
          <w:iCs/>
          <w:color w:val="000000" w:themeColor="text1"/>
          <w:sz w:val="24"/>
          <w:szCs w:val="24"/>
        </w:rPr>
        <w:t>.С</w:t>
      </w:r>
      <w:proofErr w:type="gramEnd"/>
      <w:r>
        <w:rPr>
          <w:rFonts w:ascii="Arial" w:hAnsi="Arial" w:cs="Arial"/>
          <w:iCs/>
          <w:color w:val="000000" w:themeColor="text1"/>
          <w:sz w:val="24"/>
          <w:szCs w:val="24"/>
        </w:rPr>
        <w:t>ургут, ул.Энтузиастов, 52/1.</w:t>
      </w:r>
    </w:p>
    <w:p w:rsidR="00612158" w:rsidRDefault="00612158" w:rsidP="00612158">
      <w:pPr>
        <w:ind w:firstLine="708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Контактные телефоны регистратора: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тел: +7 (3462) 550944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br/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                                                                         факс: +7(3462) 550927</w:t>
      </w:r>
    </w:p>
    <w:p w:rsidR="00612158" w:rsidRDefault="00612158" w:rsidP="0061215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Сведения о лицензии, выданной регистратору:</w:t>
      </w:r>
    </w:p>
    <w:p w:rsidR="00612158" w:rsidRDefault="00612158" w:rsidP="006121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Лицензия:</w:t>
      </w:r>
    </w:p>
    <w:p w:rsidR="00612158" w:rsidRDefault="00612158" w:rsidP="006121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Номер лицензии: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10-000-1-00324</w:t>
      </w:r>
    </w:p>
    <w:p w:rsidR="00612158" w:rsidRDefault="00612158" w:rsidP="006121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Дата выдачи: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24.06.2004</w:t>
      </w:r>
    </w:p>
    <w:p w:rsidR="00612158" w:rsidRDefault="00612158" w:rsidP="006121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Срок действия: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без ограничения срока действия.</w:t>
      </w:r>
    </w:p>
    <w:p w:rsidR="00612158" w:rsidRDefault="00612158" w:rsidP="00612158">
      <w:pPr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Орган, выдавший лицензию: </w:t>
      </w:r>
      <w:r>
        <w:rPr>
          <w:rFonts w:ascii="Arial" w:hAnsi="Arial" w:cs="Arial"/>
          <w:iCs/>
          <w:color w:val="000000" w:themeColor="text1"/>
          <w:spacing w:val="-2"/>
          <w:sz w:val="24"/>
          <w:szCs w:val="24"/>
        </w:rPr>
        <w:t>Федеральная служба по финансовым рынкам.</w:t>
      </w:r>
    </w:p>
    <w:p w:rsidR="00612158" w:rsidRDefault="00612158" w:rsidP="00612158">
      <w:pPr>
        <w:ind w:firstLine="708"/>
        <w:jc w:val="both"/>
        <w:rPr>
          <w:rFonts w:ascii="Arial" w:hAnsi="Arial" w:cs="Arial"/>
          <w:b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По вопросам получения доступа к информации для акционеров можно обращаться по адресу: 628400, </w:t>
      </w:r>
      <w:r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 xml:space="preserve">Российская Федерация, Ханты-Мансийский автономный округ – </w:t>
      </w:r>
      <w:proofErr w:type="spellStart"/>
      <w:r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Югра</w:t>
      </w:r>
      <w:proofErr w:type="spellEnd"/>
      <w:r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, г</w:t>
      </w:r>
      <w:proofErr w:type="gramStart"/>
      <w:r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.С</w:t>
      </w:r>
      <w:proofErr w:type="gramEnd"/>
      <w:r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ургут, ул.Энтузиастов, дом 52/1, офис 205.</w:t>
      </w:r>
    </w:p>
    <w:p w:rsidR="00612158" w:rsidRDefault="00612158" w:rsidP="00612158">
      <w:pPr>
        <w:keepNext/>
        <w:ind w:firstLine="708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Адрес на странице в сети Интернет: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</w:p>
    <w:p w:rsidR="00612158" w:rsidRDefault="00612158" w:rsidP="00612158">
      <w:pPr>
        <w:jc w:val="both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hyperlink r:id="rId4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://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e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-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disclosure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/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portal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/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company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aspx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?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id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=2409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5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://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akvalife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-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surgut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-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ao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/</w:t>
        </w:r>
      </w:hyperlink>
    </w:p>
    <w:p w:rsidR="00612158" w:rsidRDefault="00612158" w:rsidP="0061215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Контактные телефоны: 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+7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(3462) 421089.</w:t>
      </w:r>
    </w:p>
    <w:p w:rsidR="00612158" w:rsidRDefault="00612158" w:rsidP="00612158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Достоверность данных, содержащихся в годовом отчете Общества, подтверждена заключением ревизионной комиссией Общества по итогам ревизии финансово-хозяйственной деятельности за 2023 год от 19 февраля 2024 года. </w:t>
      </w:r>
    </w:p>
    <w:p w:rsidR="00612158" w:rsidRDefault="00612158" w:rsidP="0061215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E2B69" w:rsidRDefault="00612158"/>
    <w:sectPr w:rsidR="00BE2B69" w:rsidSect="006121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2158"/>
    <w:rsid w:val="00612158"/>
    <w:rsid w:val="00844621"/>
    <w:rsid w:val="008D4ACA"/>
    <w:rsid w:val="00E6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1215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121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21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kvalife-surgut-ao.ru/" TargetMode="External"/><Relationship Id="rId4" Type="http://schemas.openxmlformats.org/officeDocument/2006/relationships/hyperlink" Target="http://www.e-disclosure.ru/portal/company.aspx?id=2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1542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Dunaeva_TA</dc:creator>
  <cp:keywords/>
  <dc:description/>
  <cp:lastModifiedBy>Dunaeva_TA</cp:lastModifiedBy>
  <cp:revision>2</cp:revision>
  <dcterms:created xsi:type="dcterms:W3CDTF">2024-03-27T08:19:00Z</dcterms:created>
  <dcterms:modified xsi:type="dcterms:W3CDTF">2024-03-27T08:22:00Z</dcterms:modified>
</cp:coreProperties>
</file>